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18"/>
        <w:gridCol w:w="1033"/>
        <w:gridCol w:w="2513"/>
        <w:gridCol w:w="1411"/>
        <w:gridCol w:w="2129"/>
        <w:tblGridChange w:id="0">
          <w:tblGrid>
            <w:gridCol w:w="1418"/>
            <w:gridCol w:w="1033"/>
            <w:gridCol w:w="2513"/>
            <w:gridCol w:w="1411"/>
            <w:gridCol w:w="21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tabs>
                <w:tab w:val="center" w:leader="none" w:pos="4252"/>
                <w:tab w:val="right" w:leader="none" w:pos="8504"/>
              </w:tabs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547783" cy="727643"/>
                  <wp:effectExtent b="0" l="0" r="0" t="0"/>
                  <wp:docPr id="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783" cy="7276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tabs>
                <w:tab w:val="center" w:leader="none" w:pos="4252"/>
                <w:tab w:val="right" w:leader="none" w:pos="8504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104775</wp:posOffset>
                  </wp:positionV>
                  <wp:extent cx="2098800" cy="507600"/>
                  <wp:effectExtent b="0" l="0" r="0" t="0"/>
                  <wp:wrapSquare wrapText="bothSides" distB="0" distT="0" distL="114300" distR="114300"/>
                  <wp:docPr id="18" name="image5.gif"/>
                  <a:graphic>
                    <a:graphicData uri="http://schemas.openxmlformats.org/drawingml/2006/picture">
                      <pic:pic>
                        <pic:nvPicPr>
                          <pic:cNvPr id="0" name="image5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800" cy="50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tabs>
                <w:tab w:val="center" w:leader="none" w:pos="4252"/>
                <w:tab w:val="right" w:leader="none" w:pos="8504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center" w:leader="none" w:pos="4252"/>
                <w:tab w:val="right" w:leader="none" w:pos="8504"/>
              </w:tabs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94375" cy="452641"/>
                  <wp:effectExtent b="0" l="0" r="0" t="0"/>
                  <wp:docPr descr="C:\Users\carolina.fernandez\Desktop\FSG-logo-co-fnj.jpg" id="20" name="image2.jpg"/>
                  <a:graphic>
                    <a:graphicData uri="http://schemas.openxmlformats.org/drawingml/2006/picture">
                      <pic:pic>
                        <pic:nvPicPr>
                          <pic:cNvPr descr="C:\Users\carolina.fernandez\Desktop\FSG-logo-co-fnj.jpg" id="0" name="image2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375" cy="4526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tabs>
                <w:tab w:val="center" w:leader="none" w:pos="4252"/>
                <w:tab w:val="right" w:leader="none" w:pos="8504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center" w:leader="none" w:pos="4252"/>
                <w:tab w:val="right" w:leader="none" w:pos="8504"/>
              </w:tabs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795210" cy="390546"/>
                  <wp:effectExtent b="0" l="0" r="0" t="0"/>
                  <wp:docPr id="2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210" cy="3905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center" w:leader="none" w:pos="4252"/>
                <w:tab w:val="right" w:leader="none" w:pos="8504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center" w:leader="none" w:pos="4252"/>
                <w:tab w:val="right" w:leader="none" w:pos="8504"/>
              </w:tabs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537124" cy="549265"/>
                  <wp:effectExtent b="0" l="0" r="0" t="0"/>
                  <wp:docPr id="2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124" cy="5492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POLÍTIQUES DE DESSEGREGACIÓ A LA UE: UN CAMÍ CAP A L'ÈXIT ESCOLAR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novembre de 2022, el Consell de la UE va adoptar la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Recomanació del Consell sobre camins cap a l'èxit escolar,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 substitueix la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Recomanació del Consell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2011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sobre polítiques per reduir l'abandó escolar prematur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En el seu marc de polítiques, es va tornar a encoratjar els Estats membres a promoure polítiques actives contra la segregació com una de les seves mesures. Per al 2025, els Estats membres de la UE estan cridats a desenvolupar "estratègies integrades i globals cap a l'èxit escolar" per minimitzar els efectes de l'estatus socioeconòmic en els resultats de l'educació i la formació, promoure la inclusió en aquest àmbit, reduir encara l'abandonament escolar, i revertir el baix rendiment en les competències bàsiques.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Propostes i recomanacions a nivell de les institucions europees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Posar especial atenció a les polítiques de dessegregació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escolar en el marc del desenvolupament i seguiment de les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estratègies integrades i globals cap a l'èxit escolar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Donar prioritat a les mesures de dessegregació escolar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 a part de les polítiques per a l'èxit escolar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el marc de l'agenda de l'Espai Europeu d'Educació.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Cooperar amb els estats membres per desenvolupar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indicadors comuns de segregació escolar a nivell de la UE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prenent com a base les fonts internacionals disponibles que permetin la comparabilitat entre els EE.MM, incorporar-los als mecanismes de seguiment de les accions educatives.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Promoure el desenvolupament de mesures per abordar la dessegregació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escolar en el marc del període actual de programació dels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Fons de la Política de Cohesió de la UE 2021-2027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tant en la programació dels objectius específics d'educació com en la possible reprogramació de fons , així com a través d'altres programes i iniciatives rellevants de la UE.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Elaborar directrius sobre plans i polítiques de dessegregació escolar per donar suport als Estats membres en el desenvolupament de les seves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estratègies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nacionals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integrades i globals cap a l'èxit escolar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Desenvolupar informes i recerques específiques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la Comissió sobre les polítiques nacionals i els enfocaments eficaços de la dessegregació escolar, per exemple a través d' Eurydice, l' European Expert Network on Economics of Education (EENEE) i la Network of Experts working en el Social dimension of Education and Training (NESET).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Posar atenció específica a la segregació escolar a les futures edicions del Monitor de l'Educació i la Formació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 en els processos de seguiment vinculats al Semestre Europeu.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Fomentar un major aprenentatge entre iguals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sobre polítiques actives de dessegregació dins dels processos de cooperació del Marc Estratègic de l'Espai Europeu d'Educació.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Prioritzar la cooperació, la recerca, el coneixement i la innovació sobre la dessegregació escolar a les convocatòries de programes europeus com Erasmus+ i Horizonte Europa.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Propostes i recomanacions a nivell dels Estats membres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Incloure la dessegregació escolar com a objectiu estratègic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les "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estratègies integrades i globals per a l'èxit escolar"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s'han de desenvolupar o reforçar d'aquí a 2025, d'acord amb la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Recomanació del Consell sobre les Vies cap a l'Èxit Escolar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28 de novembre de 2022.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 a terme un diagnòstic de la situació i monitoritzar la segregació escolar amb indicadors comuns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utilitzant les fonts internacionals que permetin la comparabilitat entre les regions i la Unió Europea així com avaluar les intervencions.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Aprofitar els fons europeus per adoptar mesures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que contribueixin a reduir i eliminar la segregació escolar en els sistemes d'educació i formació, i garantir enfocaments adequats i assignacions pressupostàries suficients per al desplegament.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Promoure campanyes de sensibilització social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favor de la cohesió, la inclusió i la diversitat a l’escola.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Aplicar i desenvolupar de manera efectiva els marcs normatius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desplegar mesures eficaces i sostenibles contra la segregació escolar.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Promoure coalicions i acords socials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impliquin la societat civil i les parts interessades en l'educació i la formació a nivell nacional i subnacional.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780A72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80A7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80A72"/>
    <w:rPr>
      <w:rFonts w:ascii="Segoe UI" w:cs="Segoe UI" w:hAnsi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780A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780A72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780A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780A72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780A72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3C05A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 w:val="1"/>
    <w:rsid w:val="00912B5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12B53"/>
  </w:style>
  <w:style w:type="paragraph" w:styleId="Piedepgina">
    <w:name w:val="footer"/>
    <w:basedOn w:val="Normal"/>
    <w:link w:val="PiedepginaCar"/>
    <w:uiPriority w:val="99"/>
    <w:unhideWhenUsed w:val="1"/>
    <w:rsid w:val="00912B5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12B53"/>
  </w:style>
  <w:style w:type="table" w:styleId="Tablaconcuadrcula">
    <w:name w:val="Table Grid"/>
    <w:basedOn w:val="Tablanormal"/>
    <w:uiPriority w:val="39"/>
    <w:rsid w:val="00912B5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gif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zfc9PW1SZSx9dZntQcyg2bc75A==">AMUW2mWPaZViNjRniyBllpNFJhZO15KXcV9PW9LHAw1R6h8f9qnafqG7ksd4u4fj7r8qJ9jQ7hYlHod9jEnYOdSB7YY2HqAmTkDdhwSzhemaaY1RLg9wujuWG5pKtfIqGCcaKqyByZ4B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2023-11-13T11:22:00Z</dcterms:created>
  <dc:creator>MEFP</dc:creator>
</cp:coreProperties>
</file>